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300" w:afterAutospacing="0" w:line="27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友情提示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投标保证金的</w:t>
      </w: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交纳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 w:firstLine="48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交纳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以招标文件规定的金额为准。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 w:firstLine="48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交款方式：</w:t>
      </w:r>
      <w:r>
        <w:rPr>
          <w:rFonts w:hint="default" w:cs="Times New Roman"/>
          <w:color w:val="000000" w:themeColor="text1"/>
          <w:spacing w:val="-15"/>
          <w14:textFill>
            <w14:solidFill>
              <w14:schemeClr w14:val="tx1"/>
            </w14:solidFill>
          </w14:textFill>
        </w:rPr>
        <w:t>银行电汇、转账、</w:t>
      </w:r>
      <w:r>
        <w:rPr>
          <w:rFonts w:hint="eastAsia" w:cs="Times New Roman"/>
          <w:color w:val="000000" w:themeColor="text1"/>
          <w:spacing w:val="-15"/>
          <w14:textFill>
            <w14:solidFill>
              <w14:schemeClr w14:val="tx1"/>
            </w14:solidFill>
          </w14:textFill>
        </w:rPr>
        <w:t>金融机构或</w:t>
      </w:r>
      <w:r>
        <w:rPr>
          <w:rFonts w:hint="default" w:cs="Times New Roman"/>
          <w:color w:val="000000" w:themeColor="text1"/>
          <w:spacing w:val="-15"/>
          <w14:textFill>
            <w14:solidFill>
              <w14:schemeClr w14:val="tx1"/>
            </w14:solidFill>
          </w14:textFill>
        </w:rPr>
        <w:t>担保机构出具的保函等非现金形式</w:t>
      </w:r>
      <w:r>
        <w:rPr>
          <w:rFonts w:hint="default" w:cs="Times New Roman"/>
          <w:color w:val="000000" w:themeColor="text1"/>
          <w:spacing w:val="-7"/>
          <w14:textFill>
            <w14:solidFill>
              <w14:schemeClr w14:val="tx1"/>
            </w14:solidFill>
          </w14:textFill>
        </w:rPr>
        <w:t>。不</w:t>
      </w:r>
      <w:r>
        <w:rPr>
          <w:rFonts w:hint="default" w:cs="Times New Roman"/>
          <w:color w:val="000000" w:themeColor="text1"/>
          <w14:textFill>
            <w14:solidFill>
              <w14:schemeClr w14:val="tx1"/>
            </w14:solidFill>
          </w14:textFill>
        </w:rPr>
        <w:t>接受以现金及个人名义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cs="Times New Roman"/>
          <w:color w:val="000000" w:themeColor="text1"/>
          <w14:textFill>
            <w14:solidFill>
              <w14:schemeClr w14:val="tx1"/>
            </w14:solidFill>
          </w14:textFill>
        </w:rPr>
        <w:t>自然人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default" w:cs="Times New Roman"/>
          <w:color w:val="000000" w:themeColor="text1"/>
          <w14:textFill>
            <w14:solidFill>
              <w14:schemeClr w14:val="tx1"/>
            </w14:solidFill>
          </w14:textFill>
        </w:rPr>
        <w:t>的除外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cs="Times New Roman"/>
          <w:color w:val="000000" w:themeColor="text1"/>
          <w14:textFill>
            <w14:solidFill>
              <w14:schemeClr w14:val="tx1"/>
            </w14:solidFill>
          </w14:textFill>
        </w:rPr>
        <w:t>交纳的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投标保证金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注明项目名称及包号），所有递交方式均以到帐时间为准。</w:t>
      </w:r>
    </w:p>
    <w:p>
      <w:pPr>
        <w:pStyle w:val="12"/>
        <w:keepNext w:val="0"/>
        <w:keepLines w:val="0"/>
        <w:pageBreakBefore w:val="0"/>
        <w:numPr>
          <w:numId w:val="0"/>
        </w:numPr>
        <w:suppressLineNumbers w:val="0"/>
        <w:kinsoku/>
        <w:overflowPunct/>
        <w:topLinePunct w:val="0"/>
        <w:bidi w:val="0"/>
        <w:snapToGrid/>
        <w:spacing w:beforeAutospacing="0" w:afterAutospacing="0" w:line="460" w:lineRule="exact"/>
        <w:ind w:leftChars="0" w:right="0" w:rightChars="0"/>
        <w:textAlignment w:val="auto"/>
        <w:rPr>
          <w:rFonts w:hint="default" w:cs="Times New Roman"/>
          <w:color w:val="auto"/>
          <w:spacing w:val="-8"/>
        </w:rPr>
      </w:pPr>
      <w:r>
        <w:rPr>
          <w:rFonts w:hint="eastAsia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交款截止时间：以</w:t>
      </w:r>
      <w:r>
        <w:rPr>
          <w:rFonts w:hint="eastAsia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投标截止时间</w:t>
      </w:r>
      <w:r>
        <w:rPr>
          <w:rFonts w:hint="default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前保证金</w:t>
      </w:r>
      <w:r>
        <w:rPr>
          <w:rFonts w:hint="eastAsia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到达我方帐户</w:t>
      </w:r>
      <w:r>
        <w:rPr>
          <w:rFonts w:hint="default" w:cs="Times New Roman" w:asciiTheme="minorHAnsi" w:hAnsiTheme="minorHAnsi" w:eastAsia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为保证金有效。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未按招标文件要求交纳投标保证金的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投标将被拒绝。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jc w:val="left"/>
        <w:textAlignment w:val="auto"/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二、保证金退回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申请退回投标保证金时，须提供“投标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保证金退还申请表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”（格式见招标文件附件）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10"/>
          <w:rFonts w:hint="eastAsia" w:asciiTheme="minorEastAsia" w:hAnsiTheme="minorEastAsia" w:eastAsiaTheme="minorEastAsia" w:cstheme="minorEastAsia"/>
          <w:b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中标通知书的领取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 w:firstLine="48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中标结果公告将在国家指定媒体发布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，各投标人可自行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查询。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我公司工作人员将同时向中标人发出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中标通知书。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 w:firstLine="4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在确定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招标代理服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务费已到账后（财务查询电话：028-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64327707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），携带介绍信原件及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经办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人身份证复印件（原件备查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我公司财务室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办理中标通知书领取手续。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 w:firstLine="48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备注：本提示同等适用于其他采购方式。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2795"/>
    <w:rsid w:val="1DE22795"/>
    <w:rsid w:val="6E7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2020-04-29T07:25:00Z</dcterms:created>
  <dc:creator>沧海微木</dc:creator>
  <cp:lastModifiedBy>沧海微木</cp:lastModifiedBy>
  <dcterms:modified xsi:type="dcterms:W3CDTF">2020-04-29T09:27:56Z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